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88F8" w14:textId="325E75F8" w:rsidR="00E446DA" w:rsidRPr="00F40504" w:rsidRDefault="00E446DA" w:rsidP="00F93B83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2943CE">
        <w:rPr>
          <w:rFonts w:ascii="Arial" w:hAnsi="Arial" w:cs="Arial"/>
          <w:bCs/>
          <w:color w:val="auto"/>
          <w:spacing w:val="-3"/>
          <w:sz w:val="22"/>
          <w:szCs w:val="22"/>
        </w:rPr>
        <w:t>University of Queensland (UQ)</w:t>
      </w:r>
      <w:r w:rsidR="00F40504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2943CE">
        <w:rPr>
          <w:rFonts w:ascii="Arial" w:hAnsi="Arial" w:cs="Arial"/>
          <w:bCs/>
          <w:color w:val="auto"/>
          <w:spacing w:val="-3"/>
          <w:sz w:val="22"/>
          <w:szCs w:val="22"/>
        </w:rPr>
        <w:t>Senate</w:t>
      </w:r>
      <w:r w:rsidR="00F40504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</w:t>
      </w:r>
      <w:r w:rsidR="001D36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2943CE">
        <w:rPr>
          <w:rFonts w:ascii="Arial" w:hAnsi="Arial" w:cs="Arial"/>
          <w:bCs/>
          <w:color w:val="auto"/>
          <w:spacing w:val="-3"/>
          <w:sz w:val="22"/>
          <w:szCs w:val="22"/>
        </w:rPr>
        <w:t>Senate</w:t>
      </w:r>
      <w:r w:rsidR="00F40504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>)</w:t>
      </w: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is the governing body of </w:t>
      </w:r>
      <w:r w:rsidR="002943C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UQ </w:t>
      </w:r>
      <w:r w:rsidR="001D36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established </w:t>
      </w: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by the </w:t>
      </w:r>
      <w:r w:rsidR="002943CE">
        <w:rPr>
          <w:rFonts w:ascii="Arial" w:hAnsi="Arial" w:cs="Arial"/>
          <w:i/>
          <w:color w:val="auto"/>
          <w:sz w:val="22"/>
        </w:rPr>
        <w:t>University of Queensland</w:t>
      </w:r>
      <w:r w:rsidR="00F40504" w:rsidRPr="00F40504">
        <w:rPr>
          <w:rFonts w:ascii="Arial" w:hAnsi="Arial" w:cs="Arial"/>
          <w:i/>
          <w:color w:val="auto"/>
          <w:sz w:val="22"/>
        </w:rPr>
        <w:t xml:space="preserve"> Act 1998</w:t>
      </w:r>
      <w:r w:rsidR="00F40504" w:rsidRPr="00F40504">
        <w:rPr>
          <w:rFonts w:ascii="Arial" w:hAnsi="Arial" w:cs="Arial"/>
          <w:color w:val="auto"/>
          <w:sz w:val="22"/>
        </w:rPr>
        <w:t xml:space="preserve"> </w:t>
      </w: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>(Act).</w:t>
      </w:r>
    </w:p>
    <w:p w14:paraId="668A88F9" w14:textId="4925E68A" w:rsidR="00E446DA" w:rsidRPr="00F40504" w:rsidRDefault="00E446DA" w:rsidP="00F93B83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Section 5 of the Act outlines the functions of </w:t>
      </w:r>
      <w:r w:rsidR="002943CE">
        <w:rPr>
          <w:rFonts w:ascii="Arial" w:hAnsi="Arial" w:cs="Arial"/>
          <w:bCs/>
          <w:color w:val="auto"/>
          <w:spacing w:val="-3"/>
          <w:sz w:val="22"/>
          <w:szCs w:val="22"/>
        </w:rPr>
        <w:t>UQ</w:t>
      </w:r>
      <w:r w:rsidR="00790E2C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which include providing education at university standard and courses of study or instruction (at the levels of achievement the </w:t>
      </w:r>
      <w:r w:rsidR="00CC616B">
        <w:rPr>
          <w:rFonts w:ascii="Arial" w:hAnsi="Arial" w:cs="Arial"/>
          <w:bCs/>
          <w:color w:val="auto"/>
          <w:spacing w:val="-3"/>
          <w:sz w:val="22"/>
          <w:szCs w:val="22"/>
        </w:rPr>
        <w:t>Senate</w:t>
      </w:r>
      <w:r w:rsidR="00CC616B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>considers appropriate) to meet the needs of the community.</w:t>
      </w:r>
    </w:p>
    <w:p w14:paraId="668A88FB" w14:textId="4E0A1FB6" w:rsidR="00E446DA" w:rsidRPr="00F40504" w:rsidRDefault="00E446DA" w:rsidP="00F93B83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Act provides for a </w:t>
      </w:r>
      <w:r w:rsidR="00790E2C">
        <w:rPr>
          <w:rFonts w:ascii="Arial" w:hAnsi="Arial" w:cs="Arial"/>
          <w:bCs/>
          <w:color w:val="auto"/>
          <w:spacing w:val="-3"/>
          <w:sz w:val="22"/>
          <w:szCs w:val="22"/>
        </w:rPr>
        <w:t>22</w:t>
      </w:r>
      <w:r w:rsidR="00F40504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>-</w:t>
      </w: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member </w:t>
      </w:r>
      <w:r w:rsidR="00CC616B">
        <w:rPr>
          <w:rFonts w:ascii="Arial" w:hAnsi="Arial" w:cs="Arial"/>
          <w:bCs/>
          <w:color w:val="auto"/>
          <w:spacing w:val="-3"/>
          <w:sz w:val="22"/>
          <w:szCs w:val="22"/>
        </w:rPr>
        <w:t>Senate</w:t>
      </w:r>
      <w:r w:rsidR="006023DF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including </w:t>
      </w:r>
      <w:r w:rsidR="00790E2C">
        <w:rPr>
          <w:rFonts w:ascii="Arial" w:hAnsi="Arial" w:cs="Arial"/>
          <w:bCs/>
          <w:color w:val="auto"/>
          <w:spacing w:val="-3"/>
          <w:sz w:val="22"/>
          <w:szCs w:val="22"/>
        </w:rPr>
        <w:t>eight</w:t>
      </w: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members appointed by </w:t>
      </w:r>
      <w:r w:rsidR="004A51EF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>Governor in Council.</w:t>
      </w:r>
    </w:p>
    <w:p w14:paraId="668A88FC" w14:textId="24BC9BEE" w:rsidR="00E446DA" w:rsidRPr="00F40504" w:rsidRDefault="009D5293" w:rsidP="00F93B83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F40504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Cabinet </w:t>
      </w:r>
      <w:r w:rsidR="00E446DA" w:rsidRPr="00F40504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endorsed</w:t>
      </w:r>
      <w:r w:rsidR="00E446DA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 </w:t>
      </w:r>
      <w:r w:rsidR="002943CE" w:rsidRPr="002943C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Ms Julieanne Alroe, Dr Sally Pitkin AO, </w:t>
      </w:r>
      <w:r w:rsidR="005E6BB8" w:rsidRPr="002943CE">
        <w:rPr>
          <w:rFonts w:ascii="Arial" w:hAnsi="Arial" w:cs="Arial"/>
          <w:bCs/>
          <w:color w:val="auto"/>
          <w:spacing w:val="-3"/>
          <w:sz w:val="22"/>
          <w:szCs w:val="22"/>
        </w:rPr>
        <w:t>Mr Phil</w:t>
      </w:r>
      <w:r w:rsidR="005E6BB8">
        <w:rPr>
          <w:rFonts w:ascii="Arial" w:hAnsi="Arial" w:cs="Arial"/>
          <w:bCs/>
          <w:color w:val="auto"/>
          <w:spacing w:val="-3"/>
          <w:sz w:val="22"/>
          <w:szCs w:val="22"/>
        </w:rPr>
        <w:t>ip</w:t>
      </w:r>
      <w:r w:rsidR="005E6BB8" w:rsidRPr="002943C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Hennessy AO</w:t>
      </w:r>
      <w:r w:rsidR="005E6BB8">
        <w:rPr>
          <w:rFonts w:ascii="Arial" w:hAnsi="Arial" w:cs="Arial"/>
          <w:bCs/>
          <w:color w:val="auto"/>
          <w:spacing w:val="-3"/>
          <w:sz w:val="22"/>
          <w:szCs w:val="22"/>
        </w:rPr>
        <w:t>,</w:t>
      </w:r>
      <w:r w:rsidR="005E6BB8" w:rsidRPr="002943C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2943CE" w:rsidRPr="002943CE">
        <w:rPr>
          <w:rFonts w:ascii="Arial" w:hAnsi="Arial" w:cs="Arial"/>
          <w:bCs/>
          <w:color w:val="auto"/>
          <w:spacing w:val="-3"/>
          <w:sz w:val="22"/>
          <w:szCs w:val="22"/>
        </w:rPr>
        <w:t>Ms Cecile Wake,</w:t>
      </w:r>
      <w:r w:rsidR="005E6BB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2943CE" w:rsidRPr="002943CE">
        <w:rPr>
          <w:rFonts w:ascii="Arial" w:hAnsi="Arial" w:cs="Arial"/>
          <w:bCs/>
          <w:color w:val="auto"/>
          <w:spacing w:val="-3"/>
          <w:sz w:val="22"/>
          <w:szCs w:val="22"/>
        </w:rPr>
        <w:t>Mr Grant Murdoch, Mr Rob</w:t>
      </w:r>
      <w:r w:rsidR="00CC616B">
        <w:rPr>
          <w:rFonts w:ascii="Arial" w:hAnsi="Arial" w:cs="Arial"/>
          <w:bCs/>
          <w:color w:val="auto"/>
          <w:spacing w:val="-3"/>
          <w:sz w:val="22"/>
          <w:szCs w:val="22"/>
        </w:rPr>
        <w:t>ert</w:t>
      </w:r>
      <w:r w:rsidR="002943CE" w:rsidRPr="002943C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Jones and Ms Charmaine Chalmers </w:t>
      </w:r>
      <w:r w:rsidR="00E446DA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be recommended to the Governor in Council for appointment as appointed members to </w:t>
      </w:r>
      <w:r w:rsidR="00F40504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2943CE">
        <w:rPr>
          <w:rFonts w:ascii="Arial" w:hAnsi="Arial" w:cs="Arial"/>
          <w:bCs/>
          <w:color w:val="auto"/>
          <w:spacing w:val="-3"/>
          <w:sz w:val="22"/>
          <w:szCs w:val="22"/>
        </w:rPr>
        <w:t>Senate</w:t>
      </w:r>
      <w:r w:rsidR="00F40504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A91EDB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from </w:t>
      </w:r>
      <w:r w:rsidR="002943CE">
        <w:rPr>
          <w:rFonts w:ascii="Arial" w:hAnsi="Arial" w:cs="Arial"/>
          <w:bCs/>
          <w:color w:val="auto"/>
          <w:spacing w:val="-3"/>
          <w:sz w:val="22"/>
          <w:szCs w:val="22"/>
        </w:rPr>
        <w:t>1 January</w:t>
      </w:r>
      <w:r w:rsidR="00774B8A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CC616B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>202</w:t>
      </w:r>
      <w:r w:rsidR="00CC616B">
        <w:rPr>
          <w:rFonts w:ascii="Arial" w:hAnsi="Arial" w:cs="Arial"/>
          <w:bCs/>
          <w:color w:val="auto"/>
          <w:spacing w:val="-3"/>
          <w:sz w:val="22"/>
          <w:szCs w:val="22"/>
        </w:rPr>
        <w:t>2</w:t>
      </w:r>
      <w:r w:rsidR="00CC616B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A91EDB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up to and including </w:t>
      </w:r>
      <w:r w:rsidR="002943C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31 December </w:t>
      </w:r>
      <w:r w:rsidR="00F40504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>2025</w:t>
      </w:r>
      <w:r w:rsidR="00E446DA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03809F05" w14:textId="07EFE703" w:rsidR="00774B8A" w:rsidRDefault="00774B8A" w:rsidP="003B683B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sz w:val="22"/>
          <w:szCs w:val="22"/>
        </w:rPr>
      </w:pPr>
      <w:r w:rsidRPr="00BE110E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BE110E">
        <w:rPr>
          <w:rFonts w:ascii="Arial" w:hAnsi="Arial" w:cs="Arial"/>
          <w:sz w:val="22"/>
          <w:szCs w:val="22"/>
        </w:rPr>
        <w:t>:</w:t>
      </w:r>
    </w:p>
    <w:p w14:paraId="78612FEC" w14:textId="793EC4A3" w:rsidR="00774B8A" w:rsidRPr="00BE110E" w:rsidRDefault="00774B8A" w:rsidP="003B683B">
      <w:pPr>
        <w:pStyle w:val="ListParagraph"/>
        <w:numPr>
          <w:ilvl w:val="0"/>
          <w:numId w:val="6"/>
        </w:numPr>
        <w:tabs>
          <w:tab w:val="num" w:pos="284"/>
        </w:tabs>
        <w:spacing w:before="120"/>
        <w:ind w:left="68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E110E">
        <w:rPr>
          <w:rFonts w:ascii="Arial" w:hAnsi="Arial" w:cs="Arial"/>
          <w:sz w:val="22"/>
          <w:szCs w:val="22"/>
        </w:rPr>
        <w:t>Nil.</w:t>
      </w:r>
    </w:p>
    <w:sectPr w:rsidR="00774B8A" w:rsidRPr="00BE110E" w:rsidSect="00744AF5">
      <w:headerReference w:type="default" r:id="rId11"/>
      <w:pgSz w:w="11907" w:h="16834" w:code="9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228B" w14:textId="77777777" w:rsidR="003B388A" w:rsidRDefault="003B388A">
      <w:r>
        <w:separator/>
      </w:r>
    </w:p>
  </w:endnote>
  <w:endnote w:type="continuationSeparator" w:id="0">
    <w:p w14:paraId="3809BAFA" w14:textId="77777777" w:rsidR="003B388A" w:rsidRDefault="003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EE4A" w14:textId="77777777" w:rsidR="003B388A" w:rsidRDefault="003B388A">
      <w:r>
        <w:separator/>
      </w:r>
    </w:p>
  </w:footnote>
  <w:footnote w:type="continuationSeparator" w:id="0">
    <w:p w14:paraId="6B397078" w14:textId="77777777" w:rsidR="003B388A" w:rsidRDefault="003B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675D45B1" w:rsidR="006F737C" w:rsidRPr="00937A4A" w:rsidRDefault="009D5293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B51A39">
      <w:rPr>
        <w:rFonts w:ascii="Arial" w:hAnsi="Arial" w:cs="Arial"/>
        <w:b/>
        <w:sz w:val="22"/>
        <w:szCs w:val="22"/>
      </w:rPr>
      <w:t>December</w:t>
    </w:r>
    <w:r w:rsidR="00B51A39" w:rsidRPr="00382F60">
      <w:rPr>
        <w:rFonts w:ascii="Arial" w:hAnsi="Arial" w:cs="Arial"/>
        <w:b/>
        <w:sz w:val="22"/>
        <w:szCs w:val="22"/>
      </w:rPr>
      <w:t xml:space="preserve"> </w:t>
    </w:r>
    <w:r w:rsidR="00382F60" w:rsidRPr="00382F60">
      <w:rPr>
        <w:rFonts w:ascii="Arial" w:hAnsi="Arial" w:cs="Arial"/>
        <w:b/>
        <w:sz w:val="22"/>
        <w:szCs w:val="22"/>
      </w:rPr>
      <w:t>2021</w:t>
    </w:r>
  </w:p>
  <w:p w14:paraId="668A8922" w14:textId="54CE4A12" w:rsidR="006F737C" w:rsidRPr="00F40504" w:rsidRDefault="001F1E6C" w:rsidP="006F737C">
    <w:pPr>
      <w:keepLines/>
      <w:spacing w:before="80"/>
      <w:jc w:val="both"/>
      <w:rPr>
        <w:color w:val="auto"/>
      </w:rPr>
    </w:pPr>
    <w:r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Appointment of </w:t>
    </w:r>
    <w:r w:rsidR="00796D22">
      <w:rPr>
        <w:rFonts w:ascii="Arial" w:hAnsi="Arial" w:cs="Arial"/>
        <w:b/>
        <w:color w:val="auto"/>
        <w:sz w:val="22"/>
        <w:szCs w:val="22"/>
        <w:u w:val="single"/>
      </w:rPr>
      <w:t>seven</w:t>
    </w:r>
    <w:r w:rsidR="00796D22"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  <w:r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members to the </w:t>
    </w:r>
    <w:r w:rsidR="002943CE">
      <w:rPr>
        <w:rFonts w:ascii="Arial" w:hAnsi="Arial" w:cs="Arial"/>
        <w:b/>
        <w:color w:val="auto"/>
        <w:sz w:val="22"/>
        <w:szCs w:val="22"/>
        <w:u w:val="single"/>
      </w:rPr>
      <w:t>University of Queensland Senate</w:t>
    </w:r>
    <w:r w:rsidR="00F40504"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14:paraId="668A8923" w14:textId="6EEB0979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F40504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F4050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33A20480"/>
    <w:multiLevelType w:val="hybridMultilevel"/>
    <w:tmpl w:val="BF3CD422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998367">
    <w:abstractNumId w:val="4"/>
  </w:num>
  <w:num w:numId="2" w16cid:durableId="1033308445">
    <w:abstractNumId w:val="5"/>
  </w:num>
  <w:num w:numId="3" w16cid:durableId="694891509">
    <w:abstractNumId w:val="3"/>
  </w:num>
  <w:num w:numId="4" w16cid:durableId="87453913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745513">
    <w:abstractNumId w:val="2"/>
  </w:num>
  <w:num w:numId="6" w16cid:durableId="149587855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2EC"/>
    <w:rsid w:val="00060480"/>
    <w:rsid w:val="000851A4"/>
    <w:rsid w:val="00090031"/>
    <w:rsid w:val="000924FD"/>
    <w:rsid w:val="000A5265"/>
    <w:rsid w:val="000A6B55"/>
    <w:rsid w:val="000C0E30"/>
    <w:rsid w:val="000D1281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D3602"/>
    <w:rsid w:val="001F02E8"/>
    <w:rsid w:val="001F1E6C"/>
    <w:rsid w:val="00207715"/>
    <w:rsid w:val="00252D6C"/>
    <w:rsid w:val="00252E60"/>
    <w:rsid w:val="00253BEA"/>
    <w:rsid w:val="002676EC"/>
    <w:rsid w:val="002677FF"/>
    <w:rsid w:val="002806B7"/>
    <w:rsid w:val="00290042"/>
    <w:rsid w:val="00292CC9"/>
    <w:rsid w:val="002943CE"/>
    <w:rsid w:val="0029502A"/>
    <w:rsid w:val="002A192B"/>
    <w:rsid w:val="002B02FD"/>
    <w:rsid w:val="002D4245"/>
    <w:rsid w:val="002D709B"/>
    <w:rsid w:val="002D7619"/>
    <w:rsid w:val="002E287D"/>
    <w:rsid w:val="002E6476"/>
    <w:rsid w:val="003046FE"/>
    <w:rsid w:val="00310F46"/>
    <w:rsid w:val="00312AA0"/>
    <w:rsid w:val="00315531"/>
    <w:rsid w:val="00317419"/>
    <w:rsid w:val="00343E09"/>
    <w:rsid w:val="00344B53"/>
    <w:rsid w:val="0034757B"/>
    <w:rsid w:val="00355094"/>
    <w:rsid w:val="00360FD6"/>
    <w:rsid w:val="00361B46"/>
    <w:rsid w:val="00366952"/>
    <w:rsid w:val="00382F60"/>
    <w:rsid w:val="00392ABB"/>
    <w:rsid w:val="003968DB"/>
    <w:rsid w:val="003A0984"/>
    <w:rsid w:val="003B388A"/>
    <w:rsid w:val="003B683B"/>
    <w:rsid w:val="003D234A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A55"/>
    <w:rsid w:val="004A4162"/>
    <w:rsid w:val="004A51EF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5458F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C6D14"/>
    <w:rsid w:val="005D400B"/>
    <w:rsid w:val="005D5DA9"/>
    <w:rsid w:val="005E408F"/>
    <w:rsid w:val="005E6BB8"/>
    <w:rsid w:val="005F1ED2"/>
    <w:rsid w:val="005F1ED3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62105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4AF5"/>
    <w:rsid w:val="00747101"/>
    <w:rsid w:val="0074766F"/>
    <w:rsid w:val="00752CFA"/>
    <w:rsid w:val="00757989"/>
    <w:rsid w:val="00774813"/>
    <w:rsid w:val="00774B8A"/>
    <w:rsid w:val="00790E2C"/>
    <w:rsid w:val="00796D22"/>
    <w:rsid w:val="007A04BA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304DE"/>
    <w:rsid w:val="009339A6"/>
    <w:rsid w:val="00943A5F"/>
    <w:rsid w:val="00952787"/>
    <w:rsid w:val="00956E37"/>
    <w:rsid w:val="009710BC"/>
    <w:rsid w:val="009715B0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D324F"/>
    <w:rsid w:val="009D34ED"/>
    <w:rsid w:val="009D5293"/>
    <w:rsid w:val="009E64A4"/>
    <w:rsid w:val="009E6964"/>
    <w:rsid w:val="009F5419"/>
    <w:rsid w:val="009F5C18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1409"/>
    <w:rsid w:val="00A91EDB"/>
    <w:rsid w:val="00A96C88"/>
    <w:rsid w:val="00AA4AF2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475CF"/>
    <w:rsid w:val="00B51A39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D07E3"/>
    <w:rsid w:val="00BD107E"/>
    <w:rsid w:val="00BE110E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0B2"/>
    <w:rsid w:val="00CB3466"/>
    <w:rsid w:val="00CC616B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17FA6"/>
    <w:rsid w:val="00D242FE"/>
    <w:rsid w:val="00D3433C"/>
    <w:rsid w:val="00D44DF2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40504"/>
    <w:rsid w:val="00F54705"/>
    <w:rsid w:val="00F64C84"/>
    <w:rsid w:val="00F75242"/>
    <w:rsid w:val="00F76FC2"/>
    <w:rsid w:val="00F86CCA"/>
    <w:rsid w:val="00F93B83"/>
    <w:rsid w:val="00FA6D8A"/>
    <w:rsid w:val="00FB44DA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27691-2B59-4EAE-AE39-9707F0FC6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7D2B6-78E0-448A-AFF7-9D70F181A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94D1D-C8F3-4393-BF66-C5DFC4FEE206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4.xml><?xml version="1.0" encoding="utf-8"?>
<ds:datastoreItem xmlns:ds="http://schemas.openxmlformats.org/officeDocument/2006/customXml" ds:itemID="{F4536CEF-0A8A-4EEE-9CC7-10B58B27B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696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829</CharactersWithSpaces>
  <SharedDoc>false</SharedDoc>
  <HyperlinkBase>https://www.cabinet.qld.gov.au/documents/2021/Dec/ApptUQSen/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19</cp:revision>
  <cp:lastPrinted>2021-11-01T23:51:00Z</cp:lastPrinted>
  <dcterms:created xsi:type="dcterms:W3CDTF">2021-06-17T04:47:00Z</dcterms:created>
  <dcterms:modified xsi:type="dcterms:W3CDTF">2022-07-04T01:06:00Z</dcterms:modified>
  <cp:category>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